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B2A98">
      <w:pPr>
        <w:spacing w:line="56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lang w:val="zh-CN"/>
        </w:rPr>
        <w:t>附件1</w:t>
      </w:r>
    </w:p>
    <w:p w14:paraId="168A6B2C">
      <w:pPr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  <w:lang w:val="zh-CN"/>
        </w:rPr>
      </w:pPr>
    </w:p>
    <w:p w14:paraId="62334BEA">
      <w:pPr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36"/>
          <w:lang w:val="zh-CN"/>
        </w:rPr>
      </w:pPr>
      <w:r>
        <w:rPr>
          <w:rFonts w:hint="eastAsia" w:ascii="Times New Roman" w:hAnsi="Times New Roman" w:eastAsia="PMingLiU"/>
          <w:kern w:val="0"/>
          <w:sz w:val="44"/>
          <w:szCs w:val="36"/>
          <w:lang w:val="zh-CN"/>
        </w:rPr>
        <w:t>2024</w:t>
      </w:r>
      <w:r>
        <w:rPr>
          <w:rFonts w:ascii="Times New Roman" w:hAnsi="Times New Roman" w:eastAsia="方正小标宋简体"/>
          <w:kern w:val="0"/>
          <w:sz w:val="44"/>
          <w:szCs w:val="36"/>
          <w:lang w:val="zh-CN"/>
        </w:rPr>
        <w:t>年度广东省本科高校质量工程建设项目推荐</w:t>
      </w:r>
      <w:bookmarkStart w:id="0" w:name="_GoBack"/>
      <w:r>
        <w:rPr>
          <w:rFonts w:ascii="Times New Roman" w:hAnsi="Times New Roman" w:eastAsia="方正小标宋简体"/>
          <w:kern w:val="0"/>
          <w:sz w:val="44"/>
          <w:szCs w:val="36"/>
          <w:lang w:val="zh-CN"/>
        </w:rPr>
        <w:t>立项指南</w:t>
      </w:r>
      <w:bookmarkEnd w:id="0"/>
    </w:p>
    <w:p w14:paraId="6953284E">
      <w:pPr>
        <w:spacing w:line="560" w:lineRule="exact"/>
        <w:jc w:val="center"/>
        <w:rPr>
          <w:rFonts w:ascii="Times New Roman" w:hAnsi="Times New Roman" w:eastAsia="黑体"/>
          <w:color w:val="000000"/>
          <w:kern w:val="0"/>
          <w:sz w:val="32"/>
          <w:szCs w:val="32"/>
          <w:lang w:val="zh-CN"/>
        </w:rPr>
      </w:pPr>
    </w:p>
    <w:p w14:paraId="5192BB0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宋体"/>
          <w:color w:val="000000"/>
          <w:kern w:val="0"/>
          <w:sz w:val="32"/>
          <w:szCs w:val="32"/>
          <w:lang w:eastAsia="zh-CN"/>
        </w:rPr>
        <w:t>2024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年度省质量工程项目类别按照《</w:t>
      </w:r>
      <w:r>
        <w:rPr>
          <w:rFonts w:ascii="Times New Roman" w:hAnsi="Times New Roman" w:eastAsia="仿宋_GB2312"/>
          <w:color w:val="000000"/>
          <w:sz w:val="32"/>
          <w:szCs w:val="32"/>
        </w:rPr>
        <w:t>广东省普通本科高校“十四五”教学质量与教学改革工程建设实施方案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》确定，在充分尊重学校自主规划的基础上，适当强化省级宏观统筹作用，优化项目建设布局，提高项目建设质量。按照工作安排，</w:t>
      </w:r>
      <w:r>
        <w:rPr>
          <w:rFonts w:hint="eastAsia" w:ascii="Times New Roman" w:hAnsi="Times New Roman" w:eastAsia="PMingLiU"/>
          <w:color w:val="000000"/>
          <w:kern w:val="0"/>
          <w:sz w:val="32"/>
          <w:szCs w:val="32"/>
          <w:lang w:val="zh-CN"/>
        </w:rPr>
        <w:t>2024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年度省质量工程建设项目计划立项1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项左右，项目具体类别和数量如下：</w:t>
      </w:r>
    </w:p>
    <w:p w14:paraId="505635EF">
      <w:pPr>
        <w:spacing w:line="560" w:lineRule="exact"/>
        <w:ind w:firstLine="640" w:firstLineChars="200"/>
        <w:rPr>
          <w:rFonts w:ascii="Times New Roman" w:hAnsi="Times New Roman" w:eastAsia="仿宋_GB2312"/>
          <w:color w:val="FF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1.实验教学示范中心。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val="zh-CN"/>
        </w:rPr>
        <w:t>个左右的实验教学示范中心。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重点支持学科布点较少、实验体系全、教学效益高、共享范围广、学校投入大的示范中心；重点支持新建高校（校区）建设实验教学示范中心，完善实验教学条件。实验教学示范中心负责人要求必须有正高级职称，中心教学队伍结构合理、人员充足，实验课程体系相对完备。依托中心，持续开展实验教学改革研究和实践，积极创新实验教学方式和管理机制，不断强化实验教学对理论教学的巩固支撑作用。鼓励和支持中心有条件对外开放共享，扩大优质实验教学资源的覆盖面和受益面。评估项目性质及建设需要，建议学校配套支持资金平均不低于50万元/个。</w:t>
      </w:r>
    </w:p>
    <w:p w14:paraId="4D1D86E3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2.校企联合实验室。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校企联合实验室。鼓励高校面向新兴产业，瞄准本校、本专业实验教学薄弱环节，积极引入外部资源，与企业、科研院所联合共建专业教学实验室，补齐专业实验教学短板。实验室采用校企共建共管方式运行，通过实验室组建校企联合实验教学团队，发挥企业（科研院所）重要教育主体作用。支持实验室师生团队参与企业课题研究（攻关），鼓励学生深入生产一线，在真实环境中开展实验学习。通过校企联合实验室建设，形成稳定长效的产教融合机制。评估项目性质及建设需要，建议学校配套支持资金平均不低于20万元/个。</w:t>
      </w:r>
    </w:p>
    <w:p w14:paraId="7A38D3A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3.科产教融合实践教学基地。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科产教融合实践教学基地。鼓励高校、院系与大中型企业、行业协会、产业园区、科研院所共建科产教融合实践教学基地，注重实践教学基地内涵建设，完善基地内部教学体系和激励制度，充分调动合作方积极性，吸引合作方深度参与基地实践教学，共同开发实践教学课程体系、共同制定实践教学方案、共同实施实践教学过程、共同评价实践教学成效、共同改进实践教学方式，形成基地实践教学与专业课堂教学互促互补的良好局面，通过基地构建校企合作协同育人的稳定机制，打造一支高水平“双师型”教师队伍。评估项目性质及建设需要，建议学校配套支持资金平均不低于20万元/个。</w:t>
      </w:r>
    </w:p>
    <w:p w14:paraId="5B6A60C0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4.大学生社会实践教学基地。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大学生社会实践教学基地。支持学校、院系充分利用周边人文、历史、革命、自然、旅游、乡村等社会资源，联合地方政府、有关部门或其他高校，共建大学生社会实践教学基地，基地建设同时突出公益性与学术性，紧密结合专业人才培养需要，以实践课程及实践活动为主要教学手段，通过认知、体验、发现、探究、感悟等学习方式，帮助学生加深社会认识、关心社会发展，引导学生利用专业知识解决社会问题。通过基地建设，在专业教育得到强化的同时，推动实现德育、智育、美育、体育和劳动教育实践化，提升学生的创新精神、实践能力、社会责任感和就业能力。评估项目性质及建设需要，建议学校配套支持资金平均不低于10万元/个。</w:t>
      </w:r>
    </w:p>
    <w:p w14:paraId="7A77BF9A">
      <w:pPr>
        <w:spacing w:line="560" w:lineRule="exact"/>
        <w:ind w:firstLine="640" w:firstLineChars="200"/>
        <w:rPr>
          <w:rFonts w:ascii="Times New Roman" w:hAnsi="Times New Roman" w:eastAsia="仿宋_GB2312"/>
          <w:color w:val="FF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5.教师教学发展中心。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本年度计划新建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教师教学发展中心。推荐成为本年度教师教学发展中心候选项目的，须已在校内成立专门机构，承担师资培训、教学咨询、教学交流、教学组织建设等职能，并在场地条件、人员配备、经费支持等方面具有良好基础，同时，建立了一支咨询和策划专家队伍，并已开展各类教师发展活动，取得良好效果。评估项目性质及建设需要，建议学校配套支持资金平均不低于50万元/个。</w:t>
      </w:r>
    </w:p>
    <w:p w14:paraId="67B2AE0C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6.课程教研室。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课程教研室（含虚拟教研室）。教研室负责人一般由教学名师或者专业骨干教师充任，负责人近3年主持省部级以上教学项目较多，具有较高的学术水平和较强的奉献精神，愿意全力投入教研室建设。教研室成员数量和结构合理，可持续发展趋势好。教研室依托课程或课程群组建，配有相对稳定的办公场所，制定了相对完善的管理运行制度，负责人与各成员分工明确、合作高效，教研室内部开展常态化的教学专题研讨、交流、观摩、协作等活动，实施教学帮扶、青年教师导师制和集体备课制度，在青年教师培养及师资梯队建设方面卓有成效。虚拟教研室要充分运用信息技术，探索突破时空限制、高效便捷、形式多样、“线上+线下”结合的教师教研模式，形成基层教学组织建设管理的新思路、新方法、新范式，充分调动教师的教学活力，厚植教师教学成长沃土。评估项目性质及建设需要，建议学校配套支持资金平均不低于10万元/个。</w:t>
      </w:r>
    </w:p>
    <w:p w14:paraId="5C11F9AF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.现代产业学院。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计划新立项建设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现代产业学院。瞄准我省战略性“双十”产业集群发展需求，鼓励高校联合大中企业、地方政府、产业园区、科研院所等建设现代产业学院。充分尊重和发挥参建各方办学主体作用，形成共建共管、高效顺畅的组织架构。整合多主体创新要素和资源，以强化学生职业胜任力和持续发展能力为目标，以提高学生实践和创新能力为重点，创新人才培养方案、课程体系、方式方法、保障机制等，持续促进产教深度融合合作。鼓励学院打破常规对人才招录方式、课程体系进行大胆革新，建设跨专业、跨学科的新型基本教学单位，引导行业企业深度参与教材编制和课程建设，设计课程体系、优化课程结构，加快课程教学内容迭代，促进课程内容与技术发展衔接、教学过程与生产过程对接。探索校企人才双向流动机制，设置灵活的人事制度，建立选聘行业协会、企业业务骨干、优秀技术和管理人才到高校任教的有效路径。发挥学校人才与专业综合性优势，围绕产业技术创新关键问题开展协同创新，实现高校知识溢出直接服务区域经济社会发展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重点支持半导体和集成电路、工业软件、人工智能、智能制造、机器人、储能技术、物联网、网络安全、生物种业、海洋科学、现代农业等领域产业学院建设。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评估项目性质及建设需要，建议学校配套支持资金平均不低于100万元/个。</w:t>
      </w:r>
    </w:p>
    <w:p w14:paraId="508E2D12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.专项人才培养计划。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计划新立项建设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专项人才培养计划项目。鼓励高校以特定学科、行业或产业复合型、应用型、创新型人才培养为主要导向，以专业或专业群为单位，通过实验班、创新班、特色班等载体开展专项人才培养计划。计划实施所依托的主要专业应为省级以上一流专业建设点，具有相对突出的办学优势，并积累了一定的教学成果。计划应瞄准国家和省重大发展战略，主动服务特定学科、科技或产业发展，更新人才培养逻辑，推进学科专业交叉融合，在培养模式、课程体系、教学内容、教学方法、考核评价等方面进行综合改革，积极引入外部优质资源，深化科教、产教融合，增强学生实践创新能力。通过计划实施，进一步彰显学校办学特色，提升学校社会服务能力。计划范围包括但不限于“六卓越一拔尖”人才培养计划，重点支持集成电路、软件、智能制造、生物育种、海洋技术、新材料、新能源、公共卫生、中医药、涉外法治、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海洋牧场、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数字经济、网络安全、乡村振兴等领域人才培养计划。评估项目性质及建设需要，建议学校配套支持资金平均不低于30万元/个。</w:t>
      </w:r>
    </w:p>
    <w:p w14:paraId="54CB2B47"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楷体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.高等教育教学改革项目。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计划新立项建设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800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左右的高等教育教学改革项目。高等教育教学改革项目按照项目性质分为研究性教改、实践性教改，并以实践性教改为主。研究性教改主要面向高校或院系主要教学管理人员，所研究问题应密切结合岗位，并具有一定宏观性、普遍性；实践性教改重点支持一线中青年教师，教改内容应主要围绕教学实践具体问题开展研究，并注重研究成果的实践检验和运用。教改项目应加强校级统筹，</w:t>
      </w:r>
      <w:r>
        <w:rPr>
          <w:rFonts w:ascii="Times New Roman" w:hAnsi="Times New Roman" w:eastAsia="仿宋_GB2312"/>
          <w:kern w:val="0"/>
          <w:sz w:val="32"/>
          <w:szCs w:val="32"/>
        </w:rPr>
        <w:t>聚焦学校教学改革热点、重点和难点问题，开展改革实践并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注重培育教学成果。评估项目性质及建设需要，建议学校配套支持资金平均不低于3万元/项。</w:t>
      </w:r>
    </w:p>
    <w:p w14:paraId="0F486C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mRiNGY5MDRlNDE5MmMzMmY4OGY0Mjg4YTlhNmEifQ=="/>
  </w:docVars>
  <w:rsids>
    <w:rsidRoot w:val="00000000"/>
    <w:rsid w:val="004E2AD0"/>
    <w:rsid w:val="00C71A7B"/>
    <w:rsid w:val="00D37DA6"/>
    <w:rsid w:val="014B11CE"/>
    <w:rsid w:val="01CB190C"/>
    <w:rsid w:val="01D619BC"/>
    <w:rsid w:val="02C36E69"/>
    <w:rsid w:val="03353054"/>
    <w:rsid w:val="039E6ADA"/>
    <w:rsid w:val="0494371E"/>
    <w:rsid w:val="05F04DEE"/>
    <w:rsid w:val="05F42762"/>
    <w:rsid w:val="069B00D1"/>
    <w:rsid w:val="07260C61"/>
    <w:rsid w:val="074E755C"/>
    <w:rsid w:val="07675459"/>
    <w:rsid w:val="085E467B"/>
    <w:rsid w:val="094E52B5"/>
    <w:rsid w:val="09AA2ACC"/>
    <w:rsid w:val="0A32744D"/>
    <w:rsid w:val="0AF46F3D"/>
    <w:rsid w:val="0B742A3B"/>
    <w:rsid w:val="0B8D2E0C"/>
    <w:rsid w:val="0BD03A07"/>
    <w:rsid w:val="0BF91335"/>
    <w:rsid w:val="0CAC5515"/>
    <w:rsid w:val="0D28121E"/>
    <w:rsid w:val="0D5971BC"/>
    <w:rsid w:val="0EEA20EA"/>
    <w:rsid w:val="102B7242"/>
    <w:rsid w:val="10BF53EC"/>
    <w:rsid w:val="11834C67"/>
    <w:rsid w:val="11A80C0A"/>
    <w:rsid w:val="135329CD"/>
    <w:rsid w:val="13A02936"/>
    <w:rsid w:val="13D82573"/>
    <w:rsid w:val="13FC364D"/>
    <w:rsid w:val="14577A56"/>
    <w:rsid w:val="14F66612"/>
    <w:rsid w:val="163D0B8E"/>
    <w:rsid w:val="16937FFA"/>
    <w:rsid w:val="17D65BFE"/>
    <w:rsid w:val="18C86FAA"/>
    <w:rsid w:val="18F37D39"/>
    <w:rsid w:val="19953B71"/>
    <w:rsid w:val="19A95923"/>
    <w:rsid w:val="19B049D9"/>
    <w:rsid w:val="1A131810"/>
    <w:rsid w:val="1A714EC9"/>
    <w:rsid w:val="1BFA6F77"/>
    <w:rsid w:val="1CCE3B3C"/>
    <w:rsid w:val="1E4E2AD7"/>
    <w:rsid w:val="1F0C742B"/>
    <w:rsid w:val="2032721D"/>
    <w:rsid w:val="20EA3EA9"/>
    <w:rsid w:val="21063A8C"/>
    <w:rsid w:val="217B59A1"/>
    <w:rsid w:val="24D9071B"/>
    <w:rsid w:val="25061939"/>
    <w:rsid w:val="26115270"/>
    <w:rsid w:val="26605710"/>
    <w:rsid w:val="271E2267"/>
    <w:rsid w:val="27DE5719"/>
    <w:rsid w:val="28443F0A"/>
    <w:rsid w:val="28E6122B"/>
    <w:rsid w:val="29646187"/>
    <w:rsid w:val="29A15921"/>
    <w:rsid w:val="29FA4A64"/>
    <w:rsid w:val="2AA56C8A"/>
    <w:rsid w:val="2AE12F8C"/>
    <w:rsid w:val="2AFF68F0"/>
    <w:rsid w:val="2B283CCF"/>
    <w:rsid w:val="2C244852"/>
    <w:rsid w:val="2DFF0781"/>
    <w:rsid w:val="30505814"/>
    <w:rsid w:val="30A96667"/>
    <w:rsid w:val="30D53AF6"/>
    <w:rsid w:val="30FE6E50"/>
    <w:rsid w:val="328410E7"/>
    <w:rsid w:val="331F2CBC"/>
    <w:rsid w:val="33467942"/>
    <w:rsid w:val="33D637B6"/>
    <w:rsid w:val="34856A52"/>
    <w:rsid w:val="34FA5F9E"/>
    <w:rsid w:val="35187CA6"/>
    <w:rsid w:val="355E4B3C"/>
    <w:rsid w:val="35746241"/>
    <w:rsid w:val="35795159"/>
    <w:rsid w:val="361508B5"/>
    <w:rsid w:val="366040BD"/>
    <w:rsid w:val="367C3A0A"/>
    <w:rsid w:val="37405BE6"/>
    <w:rsid w:val="39243C86"/>
    <w:rsid w:val="3A535A22"/>
    <w:rsid w:val="3BAA6C0E"/>
    <w:rsid w:val="3BBF253A"/>
    <w:rsid w:val="3C1B6CE5"/>
    <w:rsid w:val="3C252651"/>
    <w:rsid w:val="3D97745B"/>
    <w:rsid w:val="3E4A4F75"/>
    <w:rsid w:val="3E7D3430"/>
    <w:rsid w:val="3F0B2353"/>
    <w:rsid w:val="40450A1E"/>
    <w:rsid w:val="41C67DB9"/>
    <w:rsid w:val="425802F2"/>
    <w:rsid w:val="43D9445F"/>
    <w:rsid w:val="443A35FD"/>
    <w:rsid w:val="44835FBE"/>
    <w:rsid w:val="44B043D4"/>
    <w:rsid w:val="455F1649"/>
    <w:rsid w:val="457623D3"/>
    <w:rsid w:val="460F754C"/>
    <w:rsid w:val="463E1A1F"/>
    <w:rsid w:val="48295FEF"/>
    <w:rsid w:val="492C7655"/>
    <w:rsid w:val="493B5A34"/>
    <w:rsid w:val="49837968"/>
    <w:rsid w:val="49A22EAB"/>
    <w:rsid w:val="4AD370C6"/>
    <w:rsid w:val="4B4B0905"/>
    <w:rsid w:val="4BFA0BD0"/>
    <w:rsid w:val="4CAA0F4F"/>
    <w:rsid w:val="4D6A464F"/>
    <w:rsid w:val="4E362E6F"/>
    <w:rsid w:val="4EC015AB"/>
    <w:rsid w:val="4EE444CA"/>
    <w:rsid w:val="4F9F568B"/>
    <w:rsid w:val="4FFE70CE"/>
    <w:rsid w:val="51555C54"/>
    <w:rsid w:val="517F5E00"/>
    <w:rsid w:val="5285171A"/>
    <w:rsid w:val="52ED1AB8"/>
    <w:rsid w:val="5335069F"/>
    <w:rsid w:val="534A0443"/>
    <w:rsid w:val="53A00312"/>
    <w:rsid w:val="546F22B7"/>
    <w:rsid w:val="557D5D22"/>
    <w:rsid w:val="559F453A"/>
    <w:rsid w:val="56C90210"/>
    <w:rsid w:val="578D4289"/>
    <w:rsid w:val="585D4EE2"/>
    <w:rsid w:val="596A51AB"/>
    <w:rsid w:val="59C75D2B"/>
    <w:rsid w:val="5A9A5C9A"/>
    <w:rsid w:val="5C343AA4"/>
    <w:rsid w:val="5CC96393"/>
    <w:rsid w:val="5CD84CCA"/>
    <w:rsid w:val="5CFE3C7F"/>
    <w:rsid w:val="5DCE261B"/>
    <w:rsid w:val="5DD61107"/>
    <w:rsid w:val="5E9357CC"/>
    <w:rsid w:val="60D16352"/>
    <w:rsid w:val="61F908C2"/>
    <w:rsid w:val="65680D25"/>
    <w:rsid w:val="67016FEC"/>
    <w:rsid w:val="67AC4F0E"/>
    <w:rsid w:val="67E3700A"/>
    <w:rsid w:val="68901EEC"/>
    <w:rsid w:val="69A337F2"/>
    <w:rsid w:val="69EF48CD"/>
    <w:rsid w:val="6A7B4639"/>
    <w:rsid w:val="6B641D6F"/>
    <w:rsid w:val="6C497C79"/>
    <w:rsid w:val="6E331F78"/>
    <w:rsid w:val="6EAF4D18"/>
    <w:rsid w:val="71E43A97"/>
    <w:rsid w:val="722A008C"/>
    <w:rsid w:val="725305F4"/>
    <w:rsid w:val="72D0424D"/>
    <w:rsid w:val="72D26C73"/>
    <w:rsid w:val="73540703"/>
    <w:rsid w:val="74CE0BA8"/>
    <w:rsid w:val="75373AF2"/>
    <w:rsid w:val="7574357F"/>
    <w:rsid w:val="76F21A46"/>
    <w:rsid w:val="77BF5669"/>
    <w:rsid w:val="78705199"/>
    <w:rsid w:val="789F7E65"/>
    <w:rsid w:val="79052066"/>
    <w:rsid w:val="79CD737D"/>
    <w:rsid w:val="7B1017CA"/>
    <w:rsid w:val="7B201304"/>
    <w:rsid w:val="7BFC4821"/>
    <w:rsid w:val="7D730CEE"/>
    <w:rsid w:val="7DF510B9"/>
    <w:rsid w:val="7F4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2024-07-13T09:14:00Z</dcterms:created>
  <dc:creator>Lin</dc:creator>
  <cp:lastModifiedBy>冯健文</cp:lastModifiedBy>
  <dcterms:modified xsi:type="dcterms:W3CDTF">2024-09-30T01:11:19Z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6D6F453DB8AE49039D96D34A5D3F5C8D_12</vt:lpwstr>
  </property>
</Properties>
</file>